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E5A2E" w14:textId="1676683C" w:rsidR="00111317" w:rsidRPr="00F37CDD" w:rsidRDefault="00937520" w:rsidP="00937520">
      <w:pPr>
        <w:rPr>
          <w:rFonts w:ascii="Arial" w:hAnsi="Arial" w:cs="Arial"/>
          <w:b/>
          <w:sz w:val="28"/>
        </w:rPr>
      </w:pPr>
      <w:r w:rsidRPr="00F37CDD">
        <w:rPr>
          <w:rFonts w:ascii="Arial" w:hAnsi="Arial" w:cs="Arial"/>
          <w:b/>
          <w:sz w:val="28"/>
        </w:rPr>
        <w:t xml:space="preserve">Indicador </w:t>
      </w:r>
      <w:r w:rsidR="00111317">
        <w:rPr>
          <w:rFonts w:ascii="Arial" w:hAnsi="Arial" w:cs="Arial"/>
          <w:b/>
          <w:sz w:val="28"/>
        </w:rPr>
        <w:t>APF 1.3</w:t>
      </w:r>
    </w:p>
    <w:tbl>
      <w:tblPr>
        <w:tblStyle w:val="Tablaconcuadrcula1"/>
        <w:tblW w:w="0" w:type="auto"/>
        <w:tblLayout w:type="fixed"/>
        <w:tblLook w:val="04A0" w:firstRow="1" w:lastRow="0" w:firstColumn="1" w:lastColumn="0" w:noHBand="0" w:noVBand="1"/>
      </w:tblPr>
      <w:tblGrid>
        <w:gridCol w:w="4513"/>
        <w:gridCol w:w="4513"/>
      </w:tblGrid>
      <w:tr w:rsidR="00937520" w:rsidRPr="00D245DE" w14:paraId="2D78FA11" w14:textId="77777777" w:rsidTr="00693548">
        <w:tc>
          <w:tcPr>
            <w:tcW w:w="4513" w:type="dxa"/>
          </w:tcPr>
          <w:p w14:paraId="18A68281" w14:textId="77777777" w:rsidR="00FD217D" w:rsidRDefault="00FD217D" w:rsidP="00693548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6E95020" w14:textId="77777777" w:rsidR="00937520" w:rsidRPr="00D245DE" w:rsidRDefault="00937520" w:rsidP="0069354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245DE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Titulo</w:t>
            </w:r>
          </w:p>
        </w:tc>
        <w:tc>
          <w:tcPr>
            <w:tcW w:w="4513" w:type="dxa"/>
          </w:tcPr>
          <w:p w14:paraId="7FB3BD7A" w14:textId="22ED59F4" w:rsidR="00937520" w:rsidRPr="00D245DE" w:rsidRDefault="00670D13" w:rsidP="0069354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PROCEDIMIENTO DE VERIFICACIÓN DE RECETAS PARA PREVENIR ERRORES DE DISPENSACIÓN</w:t>
            </w:r>
          </w:p>
        </w:tc>
      </w:tr>
      <w:tr w:rsidR="00937520" w:rsidRPr="00D245DE" w14:paraId="3AF098EA" w14:textId="77777777" w:rsidTr="00693548">
        <w:tc>
          <w:tcPr>
            <w:tcW w:w="4513" w:type="dxa"/>
          </w:tcPr>
          <w:p w14:paraId="151E24B0" w14:textId="77777777" w:rsidR="00937520" w:rsidRPr="00D245DE" w:rsidRDefault="00937520" w:rsidP="0069354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4072247E" w14:textId="77777777" w:rsidR="00937520" w:rsidRPr="00D245DE" w:rsidRDefault="00937520" w:rsidP="0069354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245DE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Propósito</w:t>
            </w:r>
          </w:p>
          <w:p w14:paraId="75EEC438" w14:textId="77777777" w:rsidR="00937520" w:rsidRPr="00D245DE" w:rsidRDefault="00937520" w:rsidP="0069354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</w:tcPr>
          <w:p w14:paraId="63EA9F5D" w14:textId="7D71E219" w:rsidR="00937520" w:rsidRPr="00D245DE" w:rsidRDefault="00670D13" w:rsidP="0069354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Evaluar el cumplimiento del procedimiento de despacho de medicamentos en Farmacia, para contribuir a la prevención de errores de </w:t>
            </w:r>
            <w:r w:rsidR="003425FD">
              <w:rPr>
                <w:rFonts w:ascii="Arial" w:eastAsia="Calibri" w:hAnsi="Arial" w:cs="Arial"/>
                <w:color w:val="000000"/>
                <w:sz w:val="24"/>
                <w:szCs w:val="24"/>
              </w:rPr>
              <w:t>dispensación</w:t>
            </w:r>
          </w:p>
        </w:tc>
      </w:tr>
      <w:tr w:rsidR="00937520" w:rsidRPr="00D245DE" w14:paraId="4800BD12" w14:textId="77777777" w:rsidTr="00693548">
        <w:tc>
          <w:tcPr>
            <w:tcW w:w="4513" w:type="dxa"/>
          </w:tcPr>
          <w:p w14:paraId="3B271297" w14:textId="77777777" w:rsidR="00937520" w:rsidRPr="00D245DE" w:rsidRDefault="00937520" w:rsidP="0069354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6500EC91" w14:textId="77777777" w:rsidR="00937520" w:rsidRPr="00D245DE" w:rsidRDefault="00937520" w:rsidP="0069354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245DE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Tipo</w:t>
            </w:r>
          </w:p>
          <w:p w14:paraId="6F805BFA" w14:textId="77777777" w:rsidR="00937520" w:rsidRPr="00D245DE" w:rsidRDefault="00937520" w:rsidP="0069354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</w:tcPr>
          <w:p w14:paraId="2A5575D7" w14:textId="77777777" w:rsidR="00937520" w:rsidRPr="00D245DE" w:rsidRDefault="00937520" w:rsidP="0069354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2B9681DD" w14:textId="77777777" w:rsidR="00937520" w:rsidRPr="00D245DE" w:rsidRDefault="00937520" w:rsidP="00693548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PROCESO</w:t>
            </w:r>
          </w:p>
        </w:tc>
      </w:tr>
      <w:tr w:rsidR="00937520" w:rsidRPr="00D245DE" w14:paraId="562ADED0" w14:textId="77777777" w:rsidTr="00693548">
        <w:tc>
          <w:tcPr>
            <w:tcW w:w="4513" w:type="dxa"/>
          </w:tcPr>
          <w:p w14:paraId="5F6247CF" w14:textId="77777777" w:rsidR="00937520" w:rsidRPr="00D245DE" w:rsidRDefault="00937520" w:rsidP="0069354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5869BC18" w14:textId="77777777" w:rsidR="00937520" w:rsidRPr="00D245DE" w:rsidRDefault="00937520" w:rsidP="0069354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245DE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Numerador</w:t>
            </w:r>
          </w:p>
          <w:p w14:paraId="6B61D423" w14:textId="77777777" w:rsidR="00937520" w:rsidRPr="00D245DE" w:rsidRDefault="00937520" w:rsidP="0069354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</w:tcPr>
          <w:p w14:paraId="23142061" w14:textId="2F30286E" w:rsidR="00937520" w:rsidRPr="00D245DE" w:rsidRDefault="00937520" w:rsidP="0069354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de </w:t>
            </w:r>
            <w:r w:rsidR="00670D13">
              <w:rPr>
                <w:rFonts w:ascii="Arial" w:eastAsia="Calibri" w:hAnsi="Arial" w:cs="Arial"/>
                <w:color w:val="000000"/>
                <w:sz w:val="24"/>
                <w:szCs w:val="24"/>
              </w:rPr>
              <w:t>Boucher de recetas despachados que cuentan con firma de recepción conforme por el paciente según procedimiento de Farmacia en el periodo * 100/</w:t>
            </w:r>
          </w:p>
        </w:tc>
      </w:tr>
      <w:tr w:rsidR="00937520" w:rsidRPr="00D245DE" w14:paraId="03B1FFCF" w14:textId="77777777" w:rsidTr="00693548">
        <w:tc>
          <w:tcPr>
            <w:tcW w:w="4513" w:type="dxa"/>
          </w:tcPr>
          <w:p w14:paraId="45B2A688" w14:textId="77777777" w:rsidR="00937520" w:rsidRPr="00D245DE" w:rsidRDefault="00937520" w:rsidP="0069354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71AB887E" w14:textId="77777777" w:rsidR="00937520" w:rsidRPr="00D245DE" w:rsidRDefault="00937520" w:rsidP="0069354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245DE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Denominador</w:t>
            </w:r>
          </w:p>
          <w:p w14:paraId="5CA048DA" w14:textId="77777777" w:rsidR="00937520" w:rsidRPr="00D245DE" w:rsidRDefault="00937520" w:rsidP="0069354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</w:tcPr>
          <w:p w14:paraId="0C17AF6F" w14:textId="59D1CB0A" w:rsidR="00937520" w:rsidRPr="00D245DE" w:rsidRDefault="00F925DF" w:rsidP="0069354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gramStart"/>
            <w:r w:rsidRPr="00D245DE">
              <w:rPr>
                <w:rFonts w:ascii="Arial" w:eastAsia="Arial" w:hAnsi="Arial" w:cs="Arial"/>
                <w:color w:val="000000"/>
                <w:sz w:val="24"/>
                <w:szCs w:val="24"/>
              </w:rPr>
              <w:t>Total</w:t>
            </w:r>
            <w:proofErr w:type="gramEnd"/>
            <w:r w:rsidR="00670D1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</w:t>
            </w:r>
            <w:r w:rsidR="0093752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670D13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Boucher de recetas despachados según procedimiento de Farmacia en el periodo </w:t>
            </w:r>
            <w:r w:rsidR="00937520" w:rsidRPr="00D245DE">
              <w:rPr>
                <w:rFonts w:ascii="Arial" w:eastAsia="Arial" w:hAnsi="Arial" w:cs="Arial"/>
                <w:color w:val="000000"/>
                <w:sz w:val="24"/>
                <w:szCs w:val="24"/>
              </w:rPr>
              <w:t>x 100</w:t>
            </w:r>
          </w:p>
        </w:tc>
      </w:tr>
      <w:tr w:rsidR="00937520" w:rsidRPr="00D245DE" w14:paraId="0AFF4312" w14:textId="77777777" w:rsidTr="00693548">
        <w:tc>
          <w:tcPr>
            <w:tcW w:w="4513" w:type="dxa"/>
          </w:tcPr>
          <w:p w14:paraId="5EAF4A71" w14:textId="77777777" w:rsidR="00937520" w:rsidRPr="00D245DE" w:rsidRDefault="00937520" w:rsidP="0069354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05C7AB45" w14:textId="77777777" w:rsidR="00937520" w:rsidRPr="00D245DE" w:rsidRDefault="00937520" w:rsidP="0069354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245DE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Fuente de Datos</w:t>
            </w:r>
          </w:p>
          <w:p w14:paraId="58021DDA" w14:textId="77777777" w:rsidR="00937520" w:rsidRPr="00D245DE" w:rsidRDefault="00937520" w:rsidP="0069354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</w:tcPr>
          <w:p w14:paraId="08AF9AE3" w14:textId="53961AB7" w:rsidR="00937520" w:rsidRDefault="006B0C54" w:rsidP="00F925DF">
            <w:pPr>
              <w:pStyle w:val="Textodebloque"/>
              <w:ind w:left="0"/>
              <w:rPr>
                <w:rFonts w:eastAsia="Arial" w:cs="Arial"/>
                <w:color w:val="000000"/>
                <w:sz w:val="24"/>
              </w:rPr>
            </w:pPr>
            <w:r>
              <w:rPr>
                <w:rFonts w:eastAsia="Arial" w:cs="Arial"/>
                <w:color w:val="000000"/>
                <w:sz w:val="24"/>
              </w:rPr>
              <w:t xml:space="preserve">Fuente Secundaria: Excel con </w:t>
            </w:r>
            <w:r w:rsidR="00111317">
              <w:rPr>
                <w:rFonts w:eastAsia="Arial" w:cs="Arial"/>
                <w:color w:val="000000"/>
                <w:sz w:val="24"/>
              </w:rPr>
              <w:t>Boucher</w:t>
            </w:r>
            <w:r>
              <w:rPr>
                <w:rFonts w:eastAsia="Arial" w:cs="Arial"/>
                <w:color w:val="000000"/>
                <w:sz w:val="24"/>
              </w:rPr>
              <w:t xml:space="preserve"> despachados que cumplen con firma.</w:t>
            </w:r>
          </w:p>
          <w:p w14:paraId="64401F57" w14:textId="27F57C3C" w:rsidR="006B0C54" w:rsidRPr="00D245DE" w:rsidRDefault="006B0C54" w:rsidP="00F925DF">
            <w:pPr>
              <w:pStyle w:val="Textodebloque"/>
              <w:ind w:left="0"/>
              <w:rPr>
                <w:rFonts w:eastAsia="Calibri" w:cs="Arial"/>
                <w:color w:val="000000"/>
                <w:sz w:val="24"/>
              </w:rPr>
            </w:pPr>
            <w:r>
              <w:rPr>
                <w:rFonts w:eastAsia="Arial" w:cs="Arial"/>
                <w:color w:val="000000"/>
                <w:sz w:val="24"/>
              </w:rPr>
              <w:t>Fuente primaria: Boucher de despacho de medicamentos.</w:t>
            </w:r>
          </w:p>
        </w:tc>
      </w:tr>
      <w:tr w:rsidR="00937520" w:rsidRPr="00D245DE" w14:paraId="0B777496" w14:textId="77777777" w:rsidTr="00693548">
        <w:tc>
          <w:tcPr>
            <w:tcW w:w="4513" w:type="dxa"/>
          </w:tcPr>
          <w:p w14:paraId="7DBCC3AE" w14:textId="77777777" w:rsidR="00937520" w:rsidRPr="00D245DE" w:rsidRDefault="00937520" w:rsidP="0069354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4DABE89D" w14:textId="77777777" w:rsidR="00937520" w:rsidRPr="00D245DE" w:rsidRDefault="00937520" w:rsidP="0069354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245DE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Umbral</w:t>
            </w:r>
          </w:p>
          <w:p w14:paraId="5707B95B" w14:textId="77777777" w:rsidR="00937520" w:rsidRPr="00D245DE" w:rsidRDefault="00937520" w:rsidP="0069354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</w:tcPr>
          <w:p w14:paraId="5E5ECE98" w14:textId="77777777" w:rsidR="00937520" w:rsidRPr="00D245DE" w:rsidRDefault="00937520" w:rsidP="0069354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762884B1" w14:textId="77777777" w:rsidR="00937520" w:rsidRPr="00D245DE" w:rsidRDefault="00937520" w:rsidP="0069354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80%</w:t>
            </w:r>
          </w:p>
        </w:tc>
      </w:tr>
      <w:tr w:rsidR="00937520" w:rsidRPr="00D245DE" w14:paraId="18469FB2" w14:textId="77777777" w:rsidTr="00693548">
        <w:tc>
          <w:tcPr>
            <w:tcW w:w="4513" w:type="dxa"/>
          </w:tcPr>
          <w:p w14:paraId="00C062C2" w14:textId="77777777" w:rsidR="00937520" w:rsidRPr="00D245DE" w:rsidRDefault="00937520" w:rsidP="00693548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F994BCB" w14:textId="77777777" w:rsidR="00937520" w:rsidRPr="00D245DE" w:rsidRDefault="00937520" w:rsidP="0069354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245DE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Periodicidad de Evaluación</w:t>
            </w:r>
          </w:p>
          <w:p w14:paraId="66FDA81A" w14:textId="77777777" w:rsidR="00937520" w:rsidRPr="00D245DE" w:rsidRDefault="00937520" w:rsidP="0069354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</w:tcPr>
          <w:p w14:paraId="2C26CE7B" w14:textId="77777777" w:rsidR="00937520" w:rsidRDefault="00937520" w:rsidP="0069354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67CC00C6" w14:textId="1E3705CC" w:rsidR="00937520" w:rsidRPr="00D245DE" w:rsidRDefault="006B0C54" w:rsidP="0069354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Semestral</w:t>
            </w:r>
          </w:p>
        </w:tc>
      </w:tr>
      <w:tr w:rsidR="00937520" w:rsidRPr="00D245DE" w14:paraId="2CCADDED" w14:textId="77777777" w:rsidTr="00693548">
        <w:tc>
          <w:tcPr>
            <w:tcW w:w="4513" w:type="dxa"/>
          </w:tcPr>
          <w:p w14:paraId="68693B7D" w14:textId="77777777" w:rsidR="00937520" w:rsidRPr="00D245DE" w:rsidRDefault="00937520" w:rsidP="00693548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81C23B9" w14:textId="77777777" w:rsidR="00937520" w:rsidRPr="00D245DE" w:rsidRDefault="00937520" w:rsidP="0069354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245DE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Metodología de Selección de casos</w:t>
            </w:r>
          </w:p>
          <w:p w14:paraId="5A93269B" w14:textId="77777777" w:rsidR="00937520" w:rsidRPr="00D245DE" w:rsidRDefault="00937520" w:rsidP="0069354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</w:tcPr>
          <w:p w14:paraId="45B37C99" w14:textId="77777777" w:rsidR="006B0C54" w:rsidRDefault="006B0C54" w:rsidP="006B0C54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Para seleccionar la muestra se utilizará el total de despachos registrados en Rayen del año anterior y se considerará un promedio por semestre. </w:t>
            </w:r>
            <w:r w:rsidR="00FD66FC">
              <w:rPr>
                <w:rFonts w:ascii="Arial" w:eastAsia="Arial" w:hAnsi="Arial" w:cs="Arial"/>
                <w:color w:val="000000"/>
                <w:sz w:val="24"/>
                <w:szCs w:val="24"/>
              </w:rPr>
              <w:t>Para eliminar sesgos, la selección de casos se realizará por la oficina de Calidad utilizando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66FC">
              <w:rPr>
                <w:rFonts w:ascii="Arial" w:eastAsia="Arial" w:hAnsi="Arial" w:cs="Arial"/>
                <w:color w:val="000000"/>
                <w:sz w:val="24"/>
                <w:szCs w:val="24"/>
              </w:rPr>
              <w:t>randomizer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</w:t>
            </w:r>
          </w:p>
          <w:p w14:paraId="6BFEE602" w14:textId="2CD9ACEA" w:rsidR="00102ABE" w:rsidRPr="00D245DE" w:rsidRDefault="00FD66FC" w:rsidP="006B0C54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(</w:t>
            </w:r>
            <w:hyperlink r:id="rId4" w:history="1">
              <w:r>
                <w:rPr>
                  <w:rStyle w:val="Hipervnculo"/>
                </w:rPr>
                <w:t>https://www.randomizer.org</w:t>
              </w:r>
            </w:hyperlink>
            <w:r>
              <w:t>)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y se </w:t>
            </w:r>
            <w:r w:rsidR="00102ABE">
              <w:rPr>
                <w:rFonts w:ascii="Arial" w:eastAsia="Arial" w:hAnsi="Arial" w:cs="Arial"/>
                <w:color w:val="000000"/>
                <w:sz w:val="24"/>
                <w:szCs w:val="24"/>
              </w:rPr>
              <w:t>enviará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la </w:t>
            </w:r>
            <w:r w:rsidR="006B0C54">
              <w:rPr>
                <w:rFonts w:ascii="Arial" w:eastAsia="Arial" w:hAnsi="Arial" w:cs="Arial"/>
                <w:color w:val="000000"/>
                <w:sz w:val="24"/>
                <w:szCs w:val="24"/>
              </w:rPr>
              <w:t>el</w:t>
            </w:r>
            <w:proofErr w:type="gramEnd"/>
            <w:r w:rsidR="006B0C5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primer mes despues de cumplido el semestre al Químico Farmacéutico encargado de Botiquin de Farmacia o su subrogante. Quienes realizaran el cotejo </w:t>
            </w:r>
          </w:p>
        </w:tc>
      </w:tr>
      <w:tr w:rsidR="00937520" w:rsidRPr="00D245DE" w14:paraId="7B396469" w14:textId="77777777" w:rsidTr="00693548">
        <w:tc>
          <w:tcPr>
            <w:tcW w:w="4513" w:type="dxa"/>
          </w:tcPr>
          <w:p w14:paraId="7DB0A908" w14:textId="77777777" w:rsidR="00937520" w:rsidRPr="00D245DE" w:rsidRDefault="00937520" w:rsidP="0069354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7D51933C" w14:textId="77777777" w:rsidR="00937520" w:rsidRPr="00D245DE" w:rsidRDefault="00937520" w:rsidP="0069354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245DE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Responsables</w:t>
            </w:r>
          </w:p>
          <w:p w14:paraId="3D8A6466" w14:textId="77777777" w:rsidR="00937520" w:rsidRPr="00D245DE" w:rsidRDefault="00937520" w:rsidP="0069354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</w:tcPr>
          <w:p w14:paraId="013A83C9" w14:textId="1C95FD4D" w:rsidR="00937520" w:rsidRDefault="00937520" w:rsidP="0069354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-</w:t>
            </w:r>
            <w:r w:rsidR="006B0C54">
              <w:rPr>
                <w:rFonts w:ascii="Arial" w:eastAsia="Calibri" w:hAnsi="Arial" w:cs="Arial"/>
                <w:color w:val="000000"/>
                <w:sz w:val="24"/>
                <w:szCs w:val="24"/>
              </w:rPr>
              <w:t>Químico Farmacéutico Encargado de Botiquin de Farmacia.</w:t>
            </w:r>
          </w:p>
          <w:p w14:paraId="3CDE6A9F" w14:textId="77777777" w:rsidR="00937520" w:rsidRPr="00D245DE" w:rsidRDefault="00937520" w:rsidP="0069354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-Encargado de Calidad</w:t>
            </w:r>
            <w:r w:rsidR="00FD66FC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  <w:p w14:paraId="3BAD1CDF" w14:textId="77777777" w:rsidR="00937520" w:rsidRPr="00D245DE" w:rsidRDefault="00937520" w:rsidP="0069354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937520" w:rsidRPr="00D245DE" w14:paraId="467A67AE" w14:textId="77777777" w:rsidTr="00693548">
        <w:tc>
          <w:tcPr>
            <w:tcW w:w="4513" w:type="dxa"/>
          </w:tcPr>
          <w:p w14:paraId="63CE0255" w14:textId="77777777" w:rsidR="00937520" w:rsidRPr="00D245DE" w:rsidRDefault="00937520" w:rsidP="0069354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713C702F" w14:textId="77777777" w:rsidR="00937520" w:rsidRPr="00D245DE" w:rsidRDefault="00937520" w:rsidP="0069354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245DE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Observaciones</w:t>
            </w:r>
          </w:p>
          <w:p w14:paraId="36A8BE33" w14:textId="77777777" w:rsidR="00937520" w:rsidRPr="00D245DE" w:rsidRDefault="00937520" w:rsidP="0069354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</w:tcPr>
          <w:p w14:paraId="02957F93" w14:textId="77777777" w:rsidR="00937520" w:rsidRDefault="00937520" w:rsidP="0069354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-En caso de que el alguno de los encargados se encuentre con Licencia o goce de feriado legal será su subrogante quien deberá realizar el procedimiento antes descrito</w:t>
            </w:r>
            <w:r w:rsidR="00102ABE">
              <w:rPr>
                <w:rFonts w:ascii="Arial" w:eastAsia="Arial" w:hAnsi="Arial" w:cs="Arial"/>
                <w:color w:val="000000"/>
                <w:sz w:val="24"/>
                <w:szCs w:val="24"/>
              </w:rPr>
              <w:t>, De igual manera en el caso que no se encuentre ninguno de estos profesionales por motivos de fuerza mayor, la oficina de calidad podrá designar a otro profesional acorde a la normativa ministerial vigente para realizar la supervisión, esto quedara registrado en la evaluación del indicador.</w:t>
            </w:r>
          </w:p>
          <w:p w14:paraId="3C4BE419" w14:textId="27A3519A" w:rsidR="00937520" w:rsidRPr="0045484E" w:rsidRDefault="00937520" w:rsidP="0069354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0E84B76" w14:textId="77777777" w:rsidR="00937520" w:rsidRDefault="00937520" w:rsidP="00937520">
      <w:pPr>
        <w:rPr>
          <w:lang w:val="es-ES"/>
        </w:rPr>
      </w:pPr>
    </w:p>
    <w:p w14:paraId="4AA3D21F" w14:textId="77777777" w:rsidR="00EA2E0F" w:rsidRDefault="00EA2E0F" w:rsidP="00937520">
      <w:pPr>
        <w:rPr>
          <w:lang w:val="es-ES"/>
        </w:rPr>
      </w:pPr>
    </w:p>
    <w:p w14:paraId="09C0CA74" w14:textId="77777777" w:rsidR="00EA2E0F" w:rsidRDefault="00EA2E0F" w:rsidP="00937520">
      <w:pPr>
        <w:rPr>
          <w:lang w:val="es-ES"/>
        </w:rPr>
      </w:pPr>
    </w:p>
    <w:p w14:paraId="5961EE64" w14:textId="77777777" w:rsidR="00937520" w:rsidRPr="003E6CC3" w:rsidRDefault="00937520" w:rsidP="00937520">
      <w:pPr>
        <w:rPr>
          <w:rFonts w:ascii="Arial" w:hAnsi="Arial" w:cs="Arial"/>
          <w:sz w:val="24"/>
          <w:lang w:val="es-ES"/>
        </w:rPr>
      </w:pPr>
    </w:p>
    <w:p w14:paraId="1D034E91" w14:textId="3FE613E3" w:rsidR="00000000" w:rsidRDefault="00000000"/>
    <w:p w14:paraId="22E9DB28" w14:textId="77777777" w:rsidR="004751E1" w:rsidRDefault="004751E1"/>
    <w:p w14:paraId="00895624" w14:textId="77777777" w:rsidR="004751E1" w:rsidRDefault="004751E1"/>
    <w:p w14:paraId="2FBA56EE" w14:textId="77777777" w:rsidR="004751E1" w:rsidRDefault="004751E1"/>
    <w:p w14:paraId="1AA5B69D" w14:textId="77777777" w:rsidR="004751E1" w:rsidRDefault="004751E1"/>
    <w:p w14:paraId="625B7552" w14:textId="77777777" w:rsidR="004751E1" w:rsidRDefault="004751E1"/>
    <w:p w14:paraId="731AF4F8" w14:textId="7895CED1" w:rsidR="005C7A7E" w:rsidRDefault="005C7A7E"/>
    <w:sectPr w:rsidR="005C7A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20"/>
    <w:rsid w:val="00102ABE"/>
    <w:rsid w:val="00111317"/>
    <w:rsid w:val="003425FD"/>
    <w:rsid w:val="003E632D"/>
    <w:rsid w:val="004751E1"/>
    <w:rsid w:val="004843F6"/>
    <w:rsid w:val="004C26ED"/>
    <w:rsid w:val="005B1934"/>
    <w:rsid w:val="005C7A7E"/>
    <w:rsid w:val="006166F3"/>
    <w:rsid w:val="00670D13"/>
    <w:rsid w:val="006B0C54"/>
    <w:rsid w:val="00841C8E"/>
    <w:rsid w:val="00937520"/>
    <w:rsid w:val="00A00297"/>
    <w:rsid w:val="00AB3741"/>
    <w:rsid w:val="00CE088C"/>
    <w:rsid w:val="00D56A64"/>
    <w:rsid w:val="00EA2E0F"/>
    <w:rsid w:val="00F925DF"/>
    <w:rsid w:val="00FD217D"/>
    <w:rsid w:val="00FD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BE12"/>
  <w15:chartTrackingRefBased/>
  <w15:docId w15:val="{AD765781-7262-4843-9242-36893FC6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5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7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520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37520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937520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37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loque">
    <w:name w:val="Block Text"/>
    <w:basedOn w:val="Normal"/>
    <w:rsid w:val="00F925DF"/>
    <w:pPr>
      <w:spacing w:after="120" w:line="240" w:lineRule="auto"/>
      <w:ind w:left="1440" w:right="1440"/>
      <w:jc w:val="both"/>
    </w:pPr>
    <w:rPr>
      <w:rFonts w:ascii="Arial" w:eastAsia="Times New Roman" w:hAnsi="Arial" w:cs="Times New Roman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andomizer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Cristobal Meneses Solari</dc:creator>
  <cp:keywords/>
  <dc:description/>
  <cp:lastModifiedBy>MENESES SOLARI CRISTOBAL</cp:lastModifiedBy>
  <cp:revision>3</cp:revision>
  <dcterms:created xsi:type="dcterms:W3CDTF">2024-05-24T16:29:00Z</dcterms:created>
  <dcterms:modified xsi:type="dcterms:W3CDTF">2024-05-24T16:29:00Z</dcterms:modified>
</cp:coreProperties>
</file>